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269" w:type="dxa"/>
        <w:tblCellSpacing w:w="0" w:type="dxa"/>
        <w:tblInd w:w="105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4491"/>
        <w:gridCol w:w="4778"/>
      </w:tblGrid>
      <w:tr>
        <w:trPr>
          <w:tblCellSpacing w:w="0" w:type="dxa"/>
          <w:trHeight w:val="13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91" w:type="dxa"/>
            <w:textDirection w:val="lrTb"/>
            <w:noWrap w:val="false"/>
          </w:tcPr>
          <w:p>
            <w:pPr>
              <w:pStyle w:val="925"/>
              <w:ind w:right="-1" w:firstLine="284"/>
              <w:jc w:val="center"/>
              <w:spacing w:before="0" w:beforeAutospacing="0" w:after="0" w:afterAutospacing="0"/>
            </w:pPr>
            <w:r>
              <w:t xml:space="preserve">ПРИНЯТО:</w:t>
            </w:r>
            <w:r/>
          </w:p>
          <w:p>
            <w:pPr>
              <w:pStyle w:val="925"/>
              <w:ind w:right="-1" w:firstLine="284"/>
              <w:jc w:val="center"/>
              <w:spacing w:before="0" w:beforeAutospacing="0" w:after="0" w:afterAutospacing="0"/>
            </w:pPr>
            <w:r>
              <w:t xml:space="preserve">Административным советом</w:t>
            </w:r>
            <w:r/>
          </w:p>
          <w:p>
            <w:pPr>
              <w:pStyle w:val="925"/>
              <w:ind w:right="-1" w:firstLine="284"/>
              <w:jc w:val="center"/>
              <w:spacing w:before="0" w:beforeAutospacing="0" w:after="0" w:afterAutospacing="0"/>
            </w:pPr>
            <w:r>
              <w:t xml:space="preserve">Протокол № _____</w:t>
            </w:r>
            <w:r>
              <w:rPr>
                <w:u w:val="single"/>
              </w:rPr>
              <w:t xml:space="preserve">_2_</w:t>
            </w:r>
            <w:r>
              <w:t xml:space="preserve">___</w:t>
            </w:r>
            <w:r/>
          </w:p>
          <w:p>
            <w:pPr>
              <w:pStyle w:val="925"/>
              <w:ind w:right="-1" w:firstLine="284"/>
              <w:jc w:val="center"/>
              <w:spacing w:before="0" w:beforeAutospacing="0" w:after="0" w:afterAutospacing="0"/>
              <w:rPr>
                <w:u w:val="single"/>
              </w:rPr>
            </w:pPr>
            <w:r>
              <w:t xml:space="preserve">от </w:t>
            </w:r>
            <w:r>
              <w:rPr>
                <w:u w:val="single"/>
              </w:rPr>
              <w:t xml:space="preserve">«_18</w:t>
            </w:r>
            <w:r>
              <w:rPr>
                <w:u w:val="single"/>
              </w:rPr>
              <w:t xml:space="preserve">_» </w:t>
            </w:r>
            <w:r>
              <w:rPr>
                <w:u w:val="single"/>
              </w:rPr>
              <w:t xml:space="preserve">марта </w:t>
            </w:r>
            <w:r>
              <w:rPr>
                <w:u w:val="single"/>
              </w:rPr>
              <w:t xml:space="preserve">202</w:t>
            </w:r>
            <w:r>
              <w:rPr>
                <w:u w:val="single"/>
              </w:rPr>
              <w:t xml:space="preserve">4</w:t>
            </w:r>
            <w:r>
              <w:rPr>
                <w:u w:val="single"/>
              </w:rPr>
              <w:t xml:space="preserve">_г.</w:t>
            </w:r>
            <w:r>
              <w:rPr>
                <w:u w:val="single"/>
              </w:rPr>
            </w:r>
          </w:p>
          <w:p>
            <w:pPr>
              <w:pStyle w:val="925"/>
              <w:ind w:right="-1" w:firstLine="284"/>
              <w:jc w:val="center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925"/>
              <w:ind w:right="-1" w:firstLine="284"/>
              <w:spacing w:before="0" w:beforeAutospacing="0" w:after="0" w:afterAutospacing="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8" w:type="dxa"/>
            <w:textDirection w:val="lrTb"/>
            <w:noWrap w:val="false"/>
          </w:tcPr>
          <w:p>
            <w:pPr>
              <w:pStyle w:val="925"/>
              <w:ind w:right="-1" w:firstLine="284"/>
              <w:jc w:val="center"/>
              <w:spacing w:before="0" w:beforeAutospacing="0" w:after="0" w:afterAutospacing="0"/>
            </w:pPr>
            <w:r>
              <w:t xml:space="preserve">УТВЕРЖДЕНО:</w:t>
            </w:r>
            <w:r/>
          </w:p>
          <w:p>
            <w:pPr>
              <w:pStyle w:val="925"/>
              <w:jc w:val="center"/>
              <w:spacing w:before="0" w:beforeAutospacing="0" w:after="0" w:afterAutospacing="0"/>
            </w:pPr>
            <w:r>
              <w:t xml:space="preserve">приказом заведующей Кисловодским      филиалом Центра «Поиск»</w:t>
            </w:r>
            <w:r/>
          </w:p>
          <w:p>
            <w:pPr>
              <w:pStyle w:val="925"/>
              <w:ind w:right="-1" w:firstLine="284"/>
              <w:jc w:val="center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 xml:space="preserve"> № 20 </w:t>
            </w:r>
            <w:r>
              <w:t xml:space="preserve">   </w:t>
            </w:r>
            <w:r>
              <w:rPr>
                <w:u w:val="single"/>
              </w:rPr>
              <w:t xml:space="preserve"> от «</w:t>
            </w:r>
            <w:r>
              <w:rPr>
                <w:u w:val="single"/>
              </w:rPr>
              <w:t xml:space="preserve">2</w:t>
            </w:r>
            <w:bookmarkStart w:id="0" w:name="_GoBack"/>
            <w:r/>
            <w:bookmarkEnd w:id="0"/>
            <w:r>
              <w:rPr>
                <w:u w:val="single"/>
              </w:rPr>
              <w:t xml:space="preserve">5» </w:t>
            </w:r>
            <w:r>
              <w:rPr>
                <w:u w:val="single"/>
              </w:rPr>
              <w:t xml:space="preserve">марта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202</w:t>
            </w:r>
            <w:r>
              <w:rPr>
                <w:u w:val="single"/>
              </w:rPr>
              <w:t xml:space="preserve">4</w:t>
            </w:r>
            <w:r>
              <w:rPr>
                <w:u w:val="single"/>
              </w:rPr>
              <w:t xml:space="preserve"> г.</w:t>
            </w:r>
            <w:r>
              <w:rPr>
                <w:u w:val="single"/>
              </w:rPr>
            </w:r>
          </w:p>
          <w:p>
            <w:pPr>
              <w:pStyle w:val="925"/>
              <w:ind w:right="-1" w:firstLine="284"/>
              <w:spacing w:before="0" w:beforeAutospacing="0"/>
            </w:pPr>
            <w:r/>
            <w:r/>
          </w:p>
        </w:tc>
      </w:tr>
    </w:tbl>
    <w:p>
      <w:pPr>
        <w:pStyle w:val="905"/>
        <w:jc w:val="center"/>
        <w:spacing w:before="0" w:line="240" w:lineRule="auto"/>
        <w:rPr>
          <w:rFonts w:ascii="Times New Roman" w:hAnsi="Times New Roman"/>
          <w:b w:val="0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 w:val="0"/>
          <w:color w:val="000000"/>
          <w:sz w:val="32"/>
          <w:szCs w:val="32"/>
        </w:rPr>
        <w:t xml:space="preserve">Правила приема обучающихся 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</w:r>
    </w:p>
    <w:p>
      <w:pPr>
        <w:pStyle w:val="905"/>
        <w:jc w:val="center"/>
        <w:spacing w:before="0" w:line="240" w:lineRule="auto"/>
        <w:rPr>
          <w:rFonts w:ascii="Times New Roman" w:hAnsi="Times New Roman"/>
          <w:b w:val="0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в 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Кисловодский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 филиал 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государственн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ого автономного образовательного учреждения дополнительного образования "Центр для одаренных детей "Поиск" на 202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4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-202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5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  <w:t xml:space="preserve"> учебный год</w:t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</w:r>
    </w:p>
    <w:p>
      <w:pPr>
        <w:pStyle w:val="905"/>
        <w:jc w:val="center"/>
        <w:spacing w:before="0" w:line="240" w:lineRule="auto"/>
        <w:rPr>
          <w:rFonts w:ascii="Times New Roman" w:hAnsi="Times New Roman"/>
          <w:b w:val="0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</w:r>
      <w:r>
        <w:rPr>
          <w:rFonts w:ascii="Times New Roman" w:hAnsi="Times New Roman"/>
          <w:b w:val="0"/>
          <w:color w:val="000000"/>
          <w:sz w:val="32"/>
          <w:szCs w:val="32"/>
          <w:lang w:val="ru-RU"/>
        </w:rPr>
      </w:r>
    </w:p>
    <w:p>
      <w:pPr>
        <w:jc w:val="center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726"/>
        <w:numPr>
          <w:ilvl w:val="0"/>
          <w:numId w:val="1"/>
        </w:numPr>
        <w:spacing w:line="288" w:lineRule="auto"/>
        <w:rPr>
          <w:b/>
          <w:color w:val="000000"/>
          <w:sz w:val="28"/>
          <w:szCs w:val="28"/>
        </w:rPr>
      </w:pPr>
      <w:r/>
      <w:bookmarkStart w:id="1" w:name="_Toc385334489"/>
      <w:r>
        <w:rPr>
          <w:b/>
          <w:color w:val="000000"/>
          <w:sz w:val="28"/>
          <w:szCs w:val="28"/>
        </w:rPr>
        <w:t xml:space="preserve">Общие положения</w:t>
      </w:r>
      <w:bookmarkEnd w:id="1"/>
      <w:r/>
      <w:r>
        <w:rPr>
          <w:b/>
          <w:color w:val="000000"/>
          <w:sz w:val="28"/>
          <w:szCs w:val="28"/>
        </w:rPr>
      </w:r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Настоящие Правила разработаны в соответствии с Федеральным законом «Об образовании в Российской Федерации» № 273 -ФЗ от 29.12.2012 года, уставом Государственного автономного образовательного учреждения дополнительного образования «Центр для одар</w:t>
      </w:r>
      <w:r>
        <w:t xml:space="preserve">енных детей «Поиск» (далее – Центр «Поиск»), Положением о Кисловодском филиале государственного автономного образовательного учреждения дополнительного образования "Центр для одаренных детей "Поиск" (далее - Филиал) и регулирует порядок приема обучающихся.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Прием на обучение в Кисловодский филиал Центра «Поиск» проводится на принципах равных условий приема для всех поступающих.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Филиал знакомит поступающего и (или) его родителей (законных представителей) с уставом, лицензией на осуществление образовательной деятельности, образовательными программ</w:t>
      </w:r>
      <w:r>
        <w:t xml:space="preserve">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основе, предоставляется информация о проводимом конкурсе и об итогах его проведения.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 Филиал самостоятельно определяет порядок приема обучающихся на все формы и профили обучения, который утверждается Центром "Поиск".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Обучение в Ф</w:t>
      </w:r>
      <w:r>
        <w:t xml:space="preserve">илиале осуществляется как за счет средств бюджета Ставропольского края, так и по договорам об образовании, заключаемыми при приеме на обучение за счет средств физических и (или) юридических лиц (далее - договоры об оказании платных образовательных услуг). 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Размер оплаты за обучение для разных программ и форм обучения утверждается ежегодно директором Центра «Поиск». 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Программы обучения и количество мест для приема на бю</w:t>
      </w:r>
      <w:r>
        <w:t xml:space="preserve">джетное отделение определяется учебным планом учреждения в пределах установленного государственного задания или значений целевых показателей в нормативно-правовых актах, регулирующих отдельные подразделения, реализующие целевые государственные программы.  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Программы обучения и количество мест для приема на отделение платных образовательных услуг (далее – ОПОУ) определяется учебным планом учреждения и утверждается ежегодно приказом директора Центра «Поиск». 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Учебный процесс ведется по многоуровневой, многоступенчатой системе, предусматривающей возможность вхождения в него на любом возрастном этапе.</w:t>
      </w:r>
      <w:r/>
    </w:p>
    <w:p>
      <w:pPr>
        <w:pStyle w:val="747"/>
        <w:numPr>
          <w:ilvl w:val="0"/>
          <w:numId w:val="3"/>
        </w:numPr>
        <w:ind w:left="0" w:firstLine="0"/>
        <w:jc w:val="both"/>
        <w:spacing w:before="120"/>
        <w:tabs>
          <w:tab w:val="left" w:pos="567" w:leader="none"/>
        </w:tabs>
      </w:pPr>
      <w:r>
        <w:t xml:space="preserve">Обучение проводится по дополнительным общеразвивающим программам, реализующимся через различные формы обучения: очная, дистанционная, смешанная. </w:t>
      </w:r>
      <w:bookmarkStart w:id="2" w:name="_Toc385334491"/>
      <w:r/>
      <w:r/>
    </w:p>
    <w:p>
      <w:pPr>
        <w:pStyle w:val="747"/>
        <w:ind w:left="0"/>
        <w:jc w:val="both"/>
        <w:spacing w:before="120"/>
        <w:tabs>
          <w:tab w:val="left" w:pos="567" w:leader="none"/>
        </w:tabs>
      </w:pPr>
      <w:r/>
      <w:r/>
    </w:p>
    <w:p>
      <w:pPr>
        <w:pStyle w:val="726"/>
        <w:numPr>
          <w:ilvl w:val="0"/>
          <w:numId w:val="4"/>
        </w:numPr>
        <w:ind w:left="1429" w:hanging="357"/>
        <w:spacing w:before="24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Порядок приема обучающихся на программы углубленного изучения предметов бюджетной </w:t>
      </w:r>
      <w:bookmarkEnd w:id="2"/>
      <w:r>
        <w:rPr>
          <w:b/>
          <w:color w:val="000000"/>
          <w:sz w:val="28"/>
          <w:szCs w:val="28"/>
          <w:lang w:val="ru-RU"/>
        </w:rPr>
        <w:t xml:space="preserve">формы обучения</w:t>
      </w:r>
      <w:r>
        <w:rPr>
          <w:b/>
          <w:color w:val="000000"/>
          <w:sz w:val="28"/>
          <w:szCs w:val="28"/>
          <w:lang w:val="ru-RU"/>
        </w:rPr>
      </w:r>
    </w:p>
    <w:p>
      <w:pPr>
        <w:numPr>
          <w:ilvl w:val="0"/>
          <w:numId w:val="7"/>
        </w:numPr>
        <w:ind w:left="57" w:firstLine="0"/>
        <w:jc w:val="both"/>
        <w:spacing w:before="120"/>
        <w:tabs>
          <w:tab w:val="left" w:pos="567" w:leader="none"/>
        </w:tabs>
      </w:pPr>
      <w:r>
        <w:t xml:space="preserve">К освоению дополнительных общеразвивающих программ допускаются учащиеся, прошедшие конкурсный отбор на программы и курсы, утвержденные учебным планом. </w:t>
      </w:r>
      <w:r/>
    </w:p>
    <w:p>
      <w:pPr>
        <w:numPr>
          <w:ilvl w:val="0"/>
          <w:numId w:val="7"/>
        </w:numPr>
        <w:ind w:left="57" w:firstLine="0"/>
        <w:jc w:val="both"/>
        <w:spacing w:before="120"/>
        <w:tabs>
          <w:tab w:val="left" w:pos="567" w:leader="none"/>
        </w:tabs>
      </w:pPr>
      <w:r>
        <w:t xml:space="preserve">На 202</w:t>
      </w:r>
      <w:r>
        <w:t xml:space="preserve">4</w:t>
      </w:r>
      <w:r>
        <w:t xml:space="preserve"> – 202</w:t>
      </w:r>
      <w:r>
        <w:t xml:space="preserve">5</w:t>
      </w:r>
      <w:r>
        <w:t xml:space="preserve"> учебный год, согласно гос</w:t>
      </w:r>
      <w:r>
        <w:t xml:space="preserve">ударственному заданию, утвержденному министерством образования Ставропольского края и учебному плану Центра «Поиск» определен перечень дополнительных общеразвивающих программ и установлена квота учебных мест на программы очной формы обучения для учащихся, </w:t>
      </w:r>
      <w:r>
        <w:rPr>
          <w:color w:val="000000"/>
          <w:shd w:val="clear" w:color="auto" w:fill="ffffff"/>
        </w:rPr>
        <w:t xml:space="preserve">проживающих в г. Кисловодске.</w:t>
      </w:r>
      <w:r/>
    </w:p>
    <w:p>
      <w:pPr>
        <w:numPr>
          <w:ilvl w:val="0"/>
          <w:numId w:val="7"/>
        </w:numPr>
        <w:ind w:left="0" w:firstLine="0"/>
        <w:jc w:val="both"/>
        <w:spacing w:before="120"/>
      </w:pPr>
      <w:r>
        <w:t xml:space="preserve">Для обучающихся, окончивших 7 - 8 класс в 202</w:t>
      </w:r>
      <w:r>
        <w:t xml:space="preserve">4</w:t>
      </w:r>
      <w:r>
        <w:t xml:space="preserve">-202</w:t>
      </w:r>
      <w:r>
        <w:t xml:space="preserve">5</w:t>
      </w:r>
      <w:r>
        <w:t xml:space="preserve"> уч. году, приём ведётся по направлениям:</w:t>
      </w:r>
      <w:r/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7"/>
        <w:gridCol w:w="3052"/>
        <w:gridCol w:w="2835"/>
        <w:gridCol w:w="2693"/>
        <w:gridCol w:w="851"/>
      </w:tblGrid>
      <w:tr>
        <w:trPr>
          <w:trHeight w:val="600"/>
        </w:trPr>
        <w:tc>
          <w:tcPr>
            <w:shd w:val="clear" w:color="cc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п.п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ccffff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ccffff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Направленность программы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ccffff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обучения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ccffff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мест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14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естественно-научная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14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естественно-научная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19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язык. Культура речи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</w:t>
            </w:r>
            <w:r>
              <w:rPr>
                <w:sz w:val="22"/>
                <w:szCs w:val="22"/>
              </w:rPr>
              <w:t xml:space="preserve">-гуманитарная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19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естественно-научная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19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r>
              <w:t xml:space="preserve">Когнитивная психология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социально-гуманитарная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19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Олимпиадное программирование</w:t>
            </w:r>
            <w:r>
              <w:rPr>
                <w:sz w:val="22"/>
                <w:szCs w:val="22"/>
              </w:rPr>
            </w:r>
          </w:p>
          <w:p>
            <w:r/>
            <w:r/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с применением электронного оборудования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570"/>
        </w:trPr>
        <w:tc>
          <w:tcPr>
            <w:shd w:val="clear" w:color="000000" w:fill="ffffff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52" w:type="dxa"/>
            <w:textDirection w:val="lrTb"/>
            <w:noWrap w:val="false"/>
          </w:tcPr>
          <w:p>
            <w:r>
              <w:rPr>
                <w:sz w:val="22"/>
                <w:szCs w:val="22"/>
              </w:rPr>
              <w:t xml:space="preserve"> </w:t>
            </w:r>
            <w:r>
              <w:t xml:space="preserve">Конкурсы естественно-научной направленности (английский язык, художественный арт-дизайн)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социально-гуманитарная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000000" w:fill="ffffff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spacing w:before="120"/>
      </w:pPr>
      <w:r>
        <w:t xml:space="preserve">Даты проведения вступительных испытаний: с </w:t>
      </w:r>
      <w:r>
        <w:t xml:space="preserve">08</w:t>
      </w:r>
      <w:r>
        <w:t xml:space="preserve"> апреля по 15 апреля 202</w:t>
      </w:r>
      <w:r>
        <w:t xml:space="preserve">4</w:t>
      </w:r>
      <w:r>
        <w:t xml:space="preserve">года. </w:t>
      </w:r>
      <w:r/>
    </w:p>
    <w:p>
      <w:pPr>
        <w:jc w:val="both"/>
        <w:spacing w:before="120"/>
      </w:pPr>
      <w:r/>
      <w:r/>
    </w:p>
    <w:p>
      <w:pPr>
        <w:jc w:val="both"/>
        <w:spacing w:before="120"/>
        <w:shd w:val="clear" w:color="auto" w:fill="ffffff"/>
        <w:tabs>
          <w:tab w:val="left" w:pos="720" w:leader="none"/>
        </w:tabs>
      </w:pPr>
      <w:r>
        <w:rPr>
          <w:spacing w:val="-2"/>
        </w:rPr>
        <w:t xml:space="preserve">2.4 Даты проведения вступительных испытаний в филиалах Центра, могут </w:t>
      </w:r>
      <w:r>
        <w:t xml:space="preserve">изменяться и утверждаться приказом заведующего филиалом.</w:t>
      </w:r>
      <w:r>
        <w:t xml:space="preserve"> Дополнительные даты экзаменов также утверждаются приказом заведующего филиалом.</w:t>
      </w:r>
      <w:r/>
    </w:p>
    <w:p>
      <w:pPr>
        <w:jc w:val="both"/>
        <w:spacing w:before="120"/>
      </w:pPr>
      <w:r/>
      <w:r/>
    </w:p>
    <w:p>
      <w:pPr>
        <w:jc w:val="both"/>
        <w:spacing w:before="120"/>
      </w:pPr>
      <w:r/>
      <w:r/>
    </w:p>
    <w:p>
      <w:pPr>
        <w:jc w:val="both"/>
        <w:spacing w:before="120"/>
      </w:pPr>
      <w:r/>
      <w:r/>
    </w:p>
    <w:p>
      <w:pPr>
        <w:jc w:val="both"/>
        <w:spacing w:before="120"/>
      </w:pPr>
      <w:r/>
      <w:r/>
    </w:p>
    <w:p>
      <w:pPr>
        <w:jc w:val="both"/>
        <w:spacing w:before="120"/>
      </w:pPr>
      <w:r>
        <w:t xml:space="preserve">Форма проведения вступительных испытаний:</w:t>
      </w:r>
      <w:r/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cc"/>
        <w:tblLook w:val="04A0" w:firstRow="1" w:lastRow="0" w:firstColumn="1" w:lastColumn="0" w:noHBand="0" w:noVBand="1"/>
      </w:tblPr>
      <w:tblGrid>
        <w:gridCol w:w="3381"/>
        <w:gridCol w:w="4602"/>
        <w:gridCol w:w="1940"/>
      </w:tblGrid>
      <w:tr>
        <w:trPr>
          <w:cantSplit/>
        </w:trPr>
        <w:tc>
          <w:tcPr>
            <w:tcW w:w="338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Дополнительная </w:t>
            </w:r>
            <w:r/>
          </w:p>
          <w:p>
            <w:pPr>
              <w:jc w:val="center"/>
            </w:pPr>
            <w:r>
              <w:t xml:space="preserve">общеразвивающая программа</w:t>
            </w:r>
            <w:r/>
          </w:p>
        </w:tc>
        <w:tc>
          <w:tcPr>
            <w:tcW w:w="4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Форма проведения вступительных испытаний</w:t>
            </w:r>
            <w:r/>
          </w:p>
        </w:tc>
        <w:tc>
          <w:tcPr>
            <w:tcW w:w="19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Дата и время</w:t>
            </w:r>
            <w:r/>
          </w:p>
        </w:tc>
      </w:tr>
      <w:tr>
        <w:trPr>
          <w:cantSplit/>
        </w:trPr>
        <w:tc>
          <w:tcPr>
            <w:tcW w:w="3381" w:type="dxa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tcW w:w="4602" w:type="dxa"/>
            <w:textDirection w:val="lrTb"/>
            <w:noWrap w:val="false"/>
          </w:tcPr>
          <w:p>
            <w:r>
              <w:t xml:space="preserve">Письменные экзамены, собеседование</w:t>
            </w:r>
            <w:r/>
          </w:p>
        </w:tc>
        <w:tc>
          <w:tcPr>
            <w:tcW w:w="1940" w:type="dxa"/>
            <w:textDirection w:val="lrTb"/>
            <w:noWrap w:val="false"/>
          </w:tcPr>
          <w:p>
            <w:r>
              <w:t xml:space="preserve">1</w:t>
            </w:r>
            <w:r>
              <w:t xml:space="preserve">0</w:t>
            </w:r>
            <w:r>
              <w:t xml:space="preserve">.04.202</w:t>
            </w:r>
            <w:r>
              <w:t xml:space="preserve">4</w:t>
            </w:r>
            <w:r>
              <w:t xml:space="preserve"> 1</w:t>
            </w:r>
            <w:r>
              <w:t xml:space="preserve">0</w:t>
            </w:r>
            <w:r>
              <w:t xml:space="preserve">.00-1</w:t>
            </w:r>
            <w:r>
              <w:t xml:space="preserve">2</w:t>
            </w:r>
            <w:r>
              <w:t xml:space="preserve">.00</w:t>
            </w:r>
            <w:r/>
          </w:p>
        </w:tc>
      </w:tr>
      <w:tr>
        <w:trPr>
          <w:cantSplit/>
        </w:trPr>
        <w:tc>
          <w:tcPr>
            <w:tcW w:w="3381" w:type="dxa"/>
            <w:textDirection w:val="lrTb"/>
            <w:noWrap w:val="false"/>
          </w:tcPr>
          <w:p>
            <w:r>
              <w:t xml:space="preserve">Физика</w:t>
            </w:r>
            <w:r/>
          </w:p>
        </w:tc>
        <w:tc>
          <w:tcPr>
            <w:tcW w:w="4602" w:type="dxa"/>
            <w:textDirection w:val="lrTb"/>
            <w:noWrap w:val="false"/>
          </w:tcPr>
          <w:p>
            <w:r>
              <w:t xml:space="preserve">Письменные экзамены, собеседование</w:t>
            </w:r>
            <w:r/>
          </w:p>
        </w:tc>
        <w:tc>
          <w:tcPr>
            <w:tcW w:w="1940" w:type="dxa"/>
            <w:textDirection w:val="lrTb"/>
            <w:noWrap w:val="false"/>
          </w:tcPr>
          <w:p>
            <w:r>
              <w:t xml:space="preserve">08</w:t>
            </w:r>
            <w:r>
              <w:t xml:space="preserve">.04.202</w:t>
            </w:r>
            <w:r>
              <w:t xml:space="preserve">4</w:t>
            </w:r>
            <w:r>
              <w:t xml:space="preserve"> </w:t>
            </w:r>
            <w:r>
              <w:t xml:space="preserve">09</w:t>
            </w:r>
            <w:r>
              <w:t xml:space="preserve">.00-1</w:t>
            </w:r>
            <w:r>
              <w:t xml:space="preserve">1</w:t>
            </w:r>
            <w:r>
              <w:t xml:space="preserve">.00</w:t>
            </w:r>
            <w:r/>
          </w:p>
        </w:tc>
      </w:tr>
      <w:tr>
        <w:trPr>
          <w:cantSplit/>
        </w:trPr>
        <w:tc>
          <w:tcPr>
            <w:tcW w:w="3381" w:type="dxa"/>
            <w:textDirection w:val="lrTb"/>
            <w:noWrap w:val="false"/>
          </w:tcPr>
          <w:p>
            <w:r>
              <w:t xml:space="preserve">Русский язык. Культура речи</w:t>
            </w:r>
            <w:r/>
          </w:p>
        </w:tc>
        <w:tc>
          <w:tcPr>
            <w:tcW w:w="4602" w:type="dxa"/>
            <w:textDirection w:val="lrTb"/>
            <w:noWrap w:val="false"/>
          </w:tcPr>
          <w:p>
            <w:r>
              <w:t xml:space="preserve">Письменные экзамены, собеседование</w:t>
            </w:r>
            <w:r/>
          </w:p>
        </w:tc>
        <w:tc>
          <w:tcPr>
            <w:tcW w:w="1940" w:type="dxa"/>
            <w:textDirection w:val="lrTb"/>
            <w:noWrap w:val="false"/>
          </w:tcPr>
          <w:p>
            <w:r>
              <w:t xml:space="preserve">08</w:t>
            </w:r>
            <w:r>
              <w:t xml:space="preserve">.04.202</w:t>
            </w:r>
            <w:r>
              <w:t xml:space="preserve">4</w:t>
            </w:r>
            <w:r/>
          </w:p>
          <w:p>
            <w:r>
              <w:t xml:space="preserve">1</w:t>
            </w:r>
            <w:r>
              <w:t xml:space="preserve">1</w:t>
            </w:r>
            <w:r>
              <w:t xml:space="preserve">.</w:t>
            </w:r>
            <w:r>
              <w:t xml:space="preserve">2</w:t>
            </w:r>
            <w:r>
              <w:t xml:space="preserve">0-1</w:t>
            </w:r>
            <w:r>
              <w:t xml:space="preserve">3</w:t>
            </w:r>
            <w:r>
              <w:t xml:space="preserve">.00</w:t>
            </w:r>
            <w:r/>
          </w:p>
        </w:tc>
      </w:tr>
      <w:tr>
        <w:trPr>
          <w:cantSplit/>
        </w:trPr>
        <w:tc>
          <w:tcPr>
            <w:tcW w:w="3381" w:type="dxa"/>
            <w:textDirection w:val="lrTb"/>
            <w:noWrap w:val="false"/>
          </w:tcPr>
          <w:p>
            <w:r>
              <w:t xml:space="preserve">Биология</w:t>
            </w:r>
            <w:r/>
          </w:p>
        </w:tc>
        <w:tc>
          <w:tcPr>
            <w:tcW w:w="4602" w:type="dxa"/>
            <w:textDirection w:val="lrTb"/>
            <w:noWrap w:val="false"/>
          </w:tcPr>
          <w:p>
            <w:r>
              <w:t xml:space="preserve">Письменные экзамены, собеседование</w:t>
            </w:r>
            <w:r/>
          </w:p>
        </w:tc>
        <w:tc>
          <w:tcPr>
            <w:tcW w:w="1940" w:type="dxa"/>
            <w:textDirection w:val="lrTb"/>
            <w:noWrap w:val="false"/>
          </w:tcPr>
          <w:p>
            <w:r>
              <w:t xml:space="preserve">10.04.202</w:t>
            </w:r>
            <w:r>
              <w:t xml:space="preserve">4</w:t>
            </w:r>
            <w:r/>
          </w:p>
          <w:p>
            <w:r>
              <w:t xml:space="preserve">12.00-14.00</w:t>
            </w:r>
            <w:r/>
          </w:p>
        </w:tc>
      </w:tr>
      <w:tr>
        <w:trPr>
          <w:cantSplit/>
        </w:trPr>
        <w:tc>
          <w:tcPr>
            <w:tcW w:w="3381" w:type="dxa"/>
            <w:textDirection w:val="lrTb"/>
            <w:noWrap w:val="false"/>
          </w:tcPr>
          <w:p>
            <w:r>
              <w:t xml:space="preserve">Информатика</w:t>
            </w:r>
            <w:r/>
          </w:p>
        </w:tc>
        <w:tc>
          <w:tcPr>
            <w:tcW w:w="4602" w:type="dxa"/>
            <w:textDirection w:val="lrTb"/>
            <w:noWrap w:val="false"/>
          </w:tcPr>
          <w:p>
            <w:r>
              <w:t xml:space="preserve">Письменные экзамены, собеседование</w:t>
            </w:r>
            <w:r/>
          </w:p>
        </w:tc>
        <w:tc>
          <w:tcPr>
            <w:tcW w:w="1940" w:type="dxa"/>
            <w:textDirection w:val="lrTb"/>
            <w:noWrap w:val="false"/>
          </w:tcPr>
          <w:p>
            <w:r>
              <w:t xml:space="preserve">1</w:t>
            </w:r>
            <w:r>
              <w:t xml:space="preserve">5</w:t>
            </w:r>
            <w:r>
              <w:t xml:space="preserve">.04.202</w:t>
            </w:r>
            <w:r>
              <w:t xml:space="preserve">4</w:t>
            </w:r>
            <w:r/>
          </w:p>
          <w:p>
            <w:r>
              <w:t xml:space="preserve">1</w:t>
            </w:r>
            <w:r>
              <w:t xml:space="preserve">0</w:t>
            </w:r>
            <w:r>
              <w:t xml:space="preserve">.00-1</w:t>
            </w:r>
            <w:r>
              <w:t xml:space="preserve">2</w:t>
            </w:r>
            <w:r>
              <w:t xml:space="preserve">.00</w:t>
            </w:r>
            <w:r/>
          </w:p>
        </w:tc>
      </w:tr>
      <w:tr>
        <w:trPr>
          <w:cantSplit/>
        </w:trPr>
        <w:tc>
          <w:tcPr>
            <w:tcW w:w="3381" w:type="dxa"/>
            <w:textDirection w:val="lrTb"/>
            <w:noWrap w:val="false"/>
          </w:tcPr>
          <w:p>
            <w:r>
              <w:t xml:space="preserve">Когнитивная психология</w:t>
            </w:r>
            <w:r/>
          </w:p>
          <w:p>
            <w:r/>
            <w:r/>
          </w:p>
        </w:tc>
        <w:tc>
          <w:tcPr>
            <w:tcW w:w="4602" w:type="dxa"/>
            <w:textDirection w:val="lrTb"/>
            <w:noWrap w:val="false"/>
          </w:tcPr>
          <w:p>
            <w:r>
              <w:t xml:space="preserve">Письменные экзамены, собеседование</w:t>
            </w:r>
            <w:r/>
          </w:p>
        </w:tc>
        <w:tc>
          <w:tcPr>
            <w:tcW w:w="1940" w:type="dxa"/>
            <w:textDirection w:val="lrTb"/>
            <w:noWrap w:val="false"/>
          </w:tcPr>
          <w:p>
            <w:r>
              <w:t xml:space="preserve">1</w:t>
            </w:r>
            <w:r>
              <w:t xml:space="preserve">2</w:t>
            </w:r>
            <w:r>
              <w:t xml:space="preserve">.04.202</w:t>
            </w:r>
            <w:r>
              <w:t xml:space="preserve">4</w:t>
            </w:r>
            <w:r/>
          </w:p>
          <w:p>
            <w:r>
              <w:t xml:space="preserve">12.00-14.00</w:t>
            </w:r>
            <w:r/>
          </w:p>
        </w:tc>
      </w:tr>
      <w:tr>
        <w:trPr>
          <w:cantSplit/>
        </w:trPr>
        <w:tc>
          <w:tcPr>
            <w:tcW w:w="3381" w:type="dxa"/>
            <w:textDirection w:val="lrTb"/>
            <w:noWrap w:val="false"/>
          </w:tcPr>
          <w:p>
            <w:r>
              <w:t xml:space="preserve">Конкурсы естественно-научной направленности (английский язык, художественный арт-дизайн)</w:t>
            </w:r>
            <w:r/>
          </w:p>
          <w:p>
            <w:r/>
            <w:r/>
          </w:p>
        </w:tc>
        <w:tc>
          <w:tcPr>
            <w:tcW w:w="4602" w:type="dxa"/>
            <w:textDirection w:val="lrTb"/>
            <w:noWrap w:val="false"/>
          </w:tcPr>
          <w:p>
            <w:r>
              <w:t xml:space="preserve">Тестирование, собеседование</w:t>
            </w:r>
            <w:r>
              <w:t xml:space="preserve"> </w:t>
            </w:r>
            <w:r/>
          </w:p>
        </w:tc>
        <w:tc>
          <w:tcPr>
            <w:tcW w:w="1940" w:type="dxa"/>
            <w:textDirection w:val="lrTb"/>
            <w:noWrap w:val="false"/>
          </w:tcPr>
          <w:p>
            <w:r>
              <w:t xml:space="preserve">1</w:t>
            </w:r>
            <w:r>
              <w:t xml:space="preserve">0</w:t>
            </w:r>
            <w:r>
              <w:t xml:space="preserve">.0</w:t>
            </w:r>
            <w:r>
              <w:t xml:space="preserve">4</w:t>
            </w:r>
            <w:r>
              <w:t xml:space="preserve">.202</w:t>
            </w:r>
            <w:r>
              <w:t xml:space="preserve">4</w:t>
            </w:r>
            <w:r/>
          </w:p>
          <w:p>
            <w:r>
              <w:t xml:space="preserve">12.00-14.00</w:t>
            </w:r>
            <w:r/>
          </w:p>
        </w:tc>
      </w:tr>
    </w:tbl>
    <w:p>
      <w:pPr>
        <w:jc w:val="both"/>
        <w:spacing w:before="120"/>
      </w:pPr>
      <w:r/>
      <w:r/>
    </w:p>
    <w:p>
      <w:pPr>
        <w:jc w:val="both"/>
        <w:spacing w:before="120"/>
        <w:tabs>
          <w:tab w:val="left" w:pos="567" w:leader="none"/>
        </w:tabs>
      </w:pPr>
      <w:r>
        <w:t xml:space="preserve">2.5 Условия конкурсного отбора гарантируют соблюдение прав обучающихся в области дополнительного образования и обеспечивают зачисление наиболее способных и подготовленных обучающихся к освоению дополнительной общеразвивающей программы Филиала.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2.6 Для организации конкурсного отбора обучающихся на бюджетное отделение Филиал ежегодно создает приемную комиссию. 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2.7 Тестовые задания разрабатываются методическими службами Филиала под руководством заместителя заведующей Филиала по учебной работе и утверждаются заведующим Филиала.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2.8 Основанием допуска обучающихся к вступительным испытаниям является запись на тестирование, которое проводится с </w:t>
      </w:r>
      <w:r>
        <w:t xml:space="preserve">08</w:t>
      </w:r>
      <w:r>
        <w:t xml:space="preserve"> апреля по 15 апреля 202</w:t>
      </w:r>
      <w:r>
        <w:t xml:space="preserve">4</w:t>
      </w:r>
      <w:r>
        <w:rPr>
          <w:b/>
        </w:rPr>
        <w:t xml:space="preserve"> </w:t>
      </w:r>
      <w:r>
        <w:t xml:space="preserve">года через индивидуальные заявки и коллективные заявки от ОУ по электронной почте </w:t>
      </w:r>
      <w:r>
        <w:rPr>
          <w:lang w:val="en-US"/>
        </w:rPr>
        <w:t xml:space="preserve">kisl</w:t>
      </w:r>
      <w:r>
        <w:t xml:space="preserve">@</w:t>
      </w:r>
      <w:r>
        <w:rPr>
          <w:lang w:val="en-US"/>
        </w:rPr>
        <w:t xml:space="preserve">stavpoisk</w:t>
      </w:r>
      <w:r>
        <w:t xml:space="preserve">.</w:t>
      </w:r>
      <w:r>
        <w:rPr>
          <w:lang w:val="en-US"/>
        </w:rPr>
        <w:t xml:space="preserve">ru</w:t>
      </w:r>
      <w:r>
        <w:t xml:space="preserve"> и по номеру телефона администратора (8-87937) 2-50-64. Справки по телефонам (8-87937) 2-50-64, 6-48-50 Адресу: г. Кисловодск, ул. </w:t>
      </w:r>
      <w:r>
        <w:t xml:space="preserve">Седлогорская</w:t>
      </w:r>
      <w:r>
        <w:t xml:space="preserve">, 1. </w:t>
      </w:r>
      <w:r/>
    </w:p>
    <w:p>
      <w:pPr>
        <w:jc w:val="both"/>
        <w:spacing w:before="120"/>
        <w:shd w:val="clear" w:color="auto" w:fill="ffffff"/>
        <w:tabs>
          <w:tab w:val="left" w:pos="720" w:leader="none"/>
        </w:tabs>
      </w:pPr>
      <w:r>
        <w:t xml:space="preserve">2.9 Обучающийся имеет право сдавать вступительные испытания на несколько программ (в случае несовпадения даты тестирования). В случае успешной сдачи экзаменов, обучающийся зачисляется на одну бюджетную программу по выбору.</w:t>
      </w:r>
      <w:r/>
    </w:p>
    <w:p>
      <w:pPr>
        <w:jc w:val="both"/>
        <w:spacing w:before="120"/>
        <w:shd w:val="clear" w:color="auto" w:fill="ffffff"/>
        <w:tabs>
          <w:tab w:val="left" w:pos="720" w:leader="none"/>
        </w:tabs>
        <w:rPr>
          <w:rStyle w:val="910"/>
          <w:b w:val="0"/>
          <w:bCs w:val="0"/>
        </w:rPr>
      </w:pPr>
      <w:r>
        <w:t xml:space="preserve">2.10 Количество, перечень, форма и сроки вступительных испытаний определяются настоящими правилами, утверждаются заведующим Филиалом.</w:t>
      </w:r>
      <w:r>
        <w:rPr>
          <w:rStyle w:val="910"/>
          <w:b w:val="0"/>
          <w:bCs w:val="0"/>
        </w:rPr>
      </w:r>
    </w:p>
    <w:p>
      <w:pPr>
        <w:jc w:val="both"/>
        <w:spacing w:before="120"/>
        <w:shd w:val="clear" w:color="auto" w:fill="ffffff"/>
        <w:tabs>
          <w:tab w:val="left" w:pos="720" w:leader="none"/>
        </w:tabs>
      </w:pPr>
      <w:r>
        <w:t xml:space="preserve">2.11 Зачисление на места бюджетного отделения проводится по рейтингу на основе конкурса среди учащихся, набравших на вступительных испытаниях не менее 50 % от максимального количества балов.</w:t>
      </w:r>
      <w:r/>
    </w:p>
    <w:p>
      <w:pPr>
        <w:jc w:val="both"/>
        <w:spacing w:before="120"/>
        <w:shd w:val="clear" w:color="auto" w:fill="ffffff"/>
        <w:tabs>
          <w:tab w:val="left" w:pos="720" w:leader="none"/>
        </w:tabs>
      </w:pPr>
      <w:r>
        <w:t xml:space="preserve">2.12 в случае недовыполнения плана приема обучающихся по итогам вступительных испытаний, приемная комиссии назначает дополнительные даты экзаменов в период до 15 сентября.</w:t>
      </w:r>
      <w:r/>
    </w:p>
    <w:p>
      <w:pPr>
        <w:jc w:val="both"/>
        <w:spacing w:before="120"/>
        <w:shd w:val="clear" w:color="auto" w:fill="ffffff"/>
        <w:tabs>
          <w:tab w:val="left" w:pos="720" w:leader="none"/>
        </w:tabs>
      </w:pPr>
      <w:r>
        <w:t xml:space="preserve">2.13 Победители Апрельских предметных олимпиад для обучающихся 7-8 классов общеобразовательных учреждений г. Кисловодска, проводимых Центром «Поиск» и </w:t>
      </w:r>
      <w:r>
        <w:t xml:space="preserve">Кисловодским филиалом, проходят вступительные испытания и зачисляются на соответствующую программу вне конкурса.</w:t>
      </w:r>
      <w:r/>
    </w:p>
    <w:p>
      <w:pPr>
        <w:jc w:val="both"/>
        <w:spacing w:before="120"/>
        <w:shd w:val="clear" w:color="auto" w:fill="ffffff"/>
        <w:tabs>
          <w:tab w:val="left" w:pos="720" w:leader="none"/>
        </w:tabs>
      </w:pPr>
      <w:r>
        <w:t xml:space="preserve">2.14 Победители муниципальных и региональных этапов Всероссийской </w:t>
      </w:r>
      <w:r>
        <w:rPr>
          <w:spacing w:val="-1"/>
        </w:rPr>
        <w:t xml:space="preserve">олимпиады школьников принимаются вне конкурса и могут быть зачис</w:t>
      </w:r>
      <w:r>
        <w:t xml:space="preserve">лены для обучения на программе, соответствующей профилю олимпиады (при наличии свободных мест). Документами, подтверждающими право на зачисление, являются дипломы муниципального и регионального этапов Всероссийской олимпиады.</w:t>
      </w:r>
      <w:r/>
    </w:p>
    <w:p>
      <w:pPr>
        <w:ind w:right="278"/>
        <w:jc w:val="both"/>
        <w:spacing w:before="120"/>
        <w:shd w:val="clear" w:color="auto" w:fill="ffffff"/>
        <w:tabs>
          <w:tab w:val="left" w:pos="0" w:leader="none"/>
          <w:tab w:val="left" w:pos="567" w:leader="none"/>
        </w:tabs>
      </w:pPr>
      <w:r>
        <w:t xml:space="preserve">2.15 При зачислении на места бюджетного отд</w:t>
      </w:r>
      <w:r>
        <w:t xml:space="preserve">еления родители (законные представители) обучающихся представляют следующие документы: заявление на обучение, заявление - согласие на хранение персональных данных ребёнка, анкеты установленного образца, разрешение на самостоятельное передвижение по городу.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2.16</w:t>
      </w:r>
      <w:r>
        <w:t xml:space="preserve"> Если претендентов меньше, чем бюджетных мест, то может быть изменен план приема между филиалами или программами внутри одной направленности с учетом количества претендентов.  В таком случае, на обучение принимаются все обучающиеся без проведения конкурса.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2.17 в случае выбытия обучающихся, проводится дополнительный прием на освободившиеся бюджетные места.</w:t>
      </w:r>
      <w:r/>
    </w:p>
    <w:p>
      <w:pPr>
        <w:ind w:right="278"/>
        <w:jc w:val="both"/>
        <w:spacing w:before="120"/>
        <w:shd w:val="clear" w:color="auto" w:fill="ffffff"/>
        <w:tabs>
          <w:tab w:val="left" w:pos="0" w:leader="none"/>
          <w:tab w:val="left" w:pos="567" w:leader="none"/>
        </w:tabs>
      </w:pPr>
      <w:r>
        <w:t xml:space="preserve">2.18 Дополнительный прием на бюджетное отделение осуществляется:</w:t>
      </w:r>
      <w:r/>
    </w:p>
    <w:p>
      <w:pPr>
        <w:shd w:val="clear" w:color="auto" w:fill="ffffff"/>
        <w:widowControl w:val="off"/>
        <w:tabs>
          <w:tab w:val="left" w:pos="0" w:leader="none"/>
        </w:tabs>
      </w:pPr>
      <w:r>
        <w:t xml:space="preserve">по результатам обучения на соответствующих уровнях отделения платных образовательных услуг;</w:t>
      </w:r>
      <w:r/>
    </w:p>
    <w:p>
      <w:pPr>
        <w:shd w:val="clear" w:color="auto" w:fill="ffffff"/>
        <w:widowControl w:val="off"/>
        <w:tabs>
          <w:tab w:val="left" w:pos="0" w:leader="none"/>
        </w:tabs>
      </w:pPr>
      <w:r>
        <w:t xml:space="preserve">по результатам тестирования;</w:t>
      </w:r>
      <w:r/>
    </w:p>
    <w:p>
      <w:pPr>
        <w:shd w:val="clear" w:color="auto" w:fill="ffffff"/>
        <w:widowControl w:val="off"/>
        <w:tabs>
          <w:tab w:val="left" w:pos="0" w:leader="none"/>
        </w:tabs>
      </w:pPr>
      <w:r>
        <w:t xml:space="preserve">по результатам интеллектуальных конкурсов муниципального, регионального или всероссийского уровней.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2.19 При дополнительном зачислении на бюджетное отделение обучающийся должен предоста</w:t>
      </w:r>
      <w:r>
        <w:t xml:space="preserve">вить документ, подтверждающий освоение пропущенного курса (части курса) на отделении платных образовательных услуг, в другом образовательном учреждении, или пройти тестирование, подтверждающее уровень знаний, необходимый для дальнейшего освоения программы.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2.20 Представление на зачисление подает руководитель методического объединения (методист) или ведущий преподаватель с указанием основания к зачислению.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2.21 Срок обучения обучающихся бюджетного отделения от 1 года до 5 лет (7 -11 классы).</w:t>
      </w:r>
      <w:r/>
    </w:p>
    <w:p>
      <w:pPr>
        <w:spacing w:before="120"/>
        <w:tabs>
          <w:tab w:val="left" w:pos="567" w:leader="none"/>
        </w:tabs>
      </w:pPr>
      <w:r/>
      <w:r/>
    </w:p>
    <w:p>
      <w:pPr>
        <w:spacing w:before="120"/>
        <w:tabs>
          <w:tab w:val="left" w:pos="567" w:leader="none"/>
        </w:tabs>
      </w:pPr>
      <w:r/>
      <w:r/>
    </w:p>
    <w:p>
      <w:pPr>
        <w:spacing w:before="120"/>
        <w:tabs>
          <w:tab w:val="left" w:pos="567" w:leader="none"/>
        </w:tabs>
      </w:pPr>
      <w:r/>
      <w:r/>
    </w:p>
    <w:p>
      <w:pPr>
        <w:numPr>
          <w:ilvl w:val="0"/>
          <w:numId w:val="4"/>
        </w:numPr>
        <w:ind w:left="924" w:hanging="357"/>
        <w:jc w:val="center"/>
        <w:spacing w:before="300" w:line="390" w:lineRule="atLeas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приема на отделение платных образовательных услуг очной и смешанной форм обучения</w:t>
      </w:r>
      <w:r>
        <w:rPr>
          <w:b/>
          <w:sz w:val="28"/>
          <w:szCs w:val="28"/>
        </w:rPr>
      </w:r>
    </w:p>
    <w:p>
      <w:pPr>
        <w:ind w:right="50"/>
        <w:jc w:val="both"/>
        <w:spacing w:before="120"/>
        <w:shd w:val="clear" w:color="auto" w:fill="ffffff"/>
        <w:tabs>
          <w:tab w:val="left" w:pos="567" w:leader="none"/>
        </w:tabs>
      </w:pPr>
      <w:r>
        <w:t xml:space="preserve">3.1 На отделение платных образовательных услуг принимаются дети в возрасте от </w:t>
      </w:r>
      <w:r>
        <w:t xml:space="preserve">5</w:t>
      </w:r>
      <w:r>
        <w:t xml:space="preserve"> до 18 лет. 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3.2 На 2023 – 2024 учебный год, согласно учебному плану Кисловодского филиала Центра "Поиск» определен следующий перечень дополнительных общеразвивающих программ на ОПОУ:</w:t>
      </w:r>
      <w:r/>
    </w:p>
    <w:p>
      <w:pPr>
        <w:jc w:val="both"/>
        <w:spacing w:before="120"/>
        <w:tabs>
          <w:tab w:val="left" w:pos="567" w:leader="none"/>
        </w:tabs>
      </w:pPr>
      <w:r/>
      <w:r/>
    </w:p>
    <w:p>
      <w:pPr>
        <w:jc w:val="both"/>
        <w:spacing w:before="120"/>
        <w:tabs>
          <w:tab w:val="left" w:pos="567" w:leader="none"/>
        </w:tabs>
      </w:pPr>
      <w:r/>
      <w:r/>
    </w:p>
    <w:p>
      <w:pPr>
        <w:jc w:val="both"/>
        <w:spacing w:before="120"/>
        <w:tabs>
          <w:tab w:val="left" w:pos="567" w:leader="none"/>
        </w:tabs>
      </w:pPr>
      <w:r/>
      <w:r/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5"/>
        <w:gridCol w:w="5240"/>
        <w:gridCol w:w="4111"/>
      </w:tblGrid>
      <w:tr>
        <w:trPr>
          <w:cantSplit/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52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общеразвивающая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программа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возраст </w:t>
            </w:r>
            <w:r>
              <w:rPr>
                <w:color w:val="000000"/>
              </w:rPr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обучающихся</w:t>
            </w:r>
            <w:r>
              <w:rPr>
                <w:color w:val="000000"/>
              </w:rPr>
            </w:r>
          </w:p>
        </w:tc>
      </w:tr>
      <w:tr>
        <w:trPr>
          <w:trHeight w:val="25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6" w:type="dxa"/>
            <w:vAlign w:val="center"/>
            <w:textDirection w:val="lrTb"/>
            <w:noWrap/>
          </w:tcPr>
          <w:p>
            <w:pPr>
              <w:rPr>
                <w:i/>
                <w:color w:val="000000"/>
              </w:rPr>
            </w:pPr>
            <w:r>
              <w:rPr>
                <w:b/>
                <w:i/>
                <w:iCs/>
              </w:rPr>
              <w:t xml:space="preserve">Программы социально-педагогической направленности</w:t>
            </w:r>
            <w:r>
              <w:rPr>
                <w:i/>
                <w:color w:val="000000"/>
              </w:rPr>
            </w:r>
          </w:p>
        </w:tc>
      </w:tr>
      <w:tr>
        <w:trPr>
          <w:trHeight w:val="285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6" w:type="dxa"/>
            <w:vAlign w:val="center"/>
            <w:textDirection w:val="lrTb"/>
            <w:noWrap/>
          </w:tcPr>
          <w:p>
            <w:pPr>
              <w:rPr>
                <w:b/>
                <w:iCs/>
              </w:rPr>
            </w:pPr>
            <w:r>
              <w:rPr>
                <w:i/>
                <w:iCs/>
                <w:color w:val="000000"/>
              </w:rPr>
              <w:t xml:space="preserve">Комплексные развивающие программы</w:t>
            </w:r>
            <w:r>
              <w:rPr>
                <w:b/>
                <w:iCs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в школьную жизнь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5 до 7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умственной работы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7 до 11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психология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7 до 17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445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Предметные программы</w:t>
            </w:r>
            <w:r>
              <w:rPr>
                <w:i/>
                <w:iCs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язык. Культура речи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10 до 18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6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Немецкий язык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6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445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</w:rPr>
              <w:t xml:space="preserve">Программы естественно-научной направленности</w:t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10 до 18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Физика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12 до 18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10 до 18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none" w:color="FFFFFF" w:sz="255" w:space="0"/>
            </w:tcBorders>
            <w:tcW w:w="445" w:type="dxa"/>
            <w:vAlign w:val="center"/>
            <w:textDirection w:val="lrTb"/>
            <w:noWrap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  <w:r>
              <w:rPr>
                <w:color w:val="000000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93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Программы технической направленности</w:t>
            </w:r>
            <w:r>
              <w:rPr>
                <w:b/>
                <w:i/>
                <w:iCs/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Детская технологическая школа "</w:t>
            </w:r>
            <w:r>
              <w:rPr>
                <w:color w:val="000000"/>
              </w:rPr>
              <w:t xml:space="preserve">RobotX</w:t>
            </w:r>
            <w:r>
              <w:rPr>
                <w:color w:val="000000"/>
              </w:rPr>
              <w:t xml:space="preserve">"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6 до 13 лет</w:t>
            </w:r>
            <w:r>
              <w:rPr>
                <w:color w:val="000000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textDirection w:val="lrTb"/>
            <w:noWrap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Информатика</w:t>
            </w:r>
            <w:r>
              <w:rPr>
                <w:color w:val="00000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8 до 18 лет</w:t>
            </w:r>
            <w:r>
              <w:rPr>
                <w:color w:val="000000"/>
              </w:rPr>
            </w:r>
          </w:p>
        </w:tc>
      </w:tr>
    </w:tbl>
    <w:p>
      <w:pPr>
        <w:jc w:val="both"/>
        <w:spacing w:before="120"/>
        <w:tabs>
          <w:tab w:val="left" w:pos="567" w:leader="none"/>
        </w:tabs>
      </w:pPr>
      <w:r/>
      <w:r/>
    </w:p>
    <w:p>
      <w:pPr>
        <w:ind w:right="50"/>
        <w:jc w:val="both"/>
        <w:spacing w:before="120"/>
        <w:shd w:val="clear" w:color="auto" w:fill="ffffff"/>
        <w:tabs>
          <w:tab w:val="left" w:pos="567" w:leader="none"/>
        </w:tabs>
      </w:pPr>
      <w:r>
        <w:t xml:space="preserve">3.3 На места с оплатой за обучение принимаются все желающие обучаться при наличии свободных мест.</w:t>
      </w:r>
      <w:r/>
    </w:p>
    <w:p>
      <w:pPr>
        <w:ind w:right="50"/>
        <w:jc w:val="both"/>
        <w:spacing w:before="120"/>
        <w:shd w:val="clear" w:color="auto" w:fill="ffffff"/>
        <w:tabs>
          <w:tab w:val="left" w:pos="567" w:leader="none"/>
        </w:tabs>
      </w:pPr>
      <w:r>
        <w:t xml:space="preserve">3.4 Оформление документов, запись в группы летнего интенсива и следующего учебного года проводится с 20 </w:t>
      </w:r>
      <w:r>
        <w:t xml:space="preserve">апреля</w:t>
      </w:r>
      <w:r>
        <w:t xml:space="preserve"> по 31 августа текущего учебного года по адресу: г. Кисловодск, ул. </w:t>
      </w:r>
      <w:r>
        <w:t xml:space="preserve">Седлогорская</w:t>
      </w:r>
      <w:r>
        <w:t xml:space="preserve">, 1. Справки по телефону (8-87937) 2-50-64.</w:t>
      </w:r>
      <w:r/>
    </w:p>
    <w:p>
      <w:pPr>
        <w:ind w:right="50"/>
        <w:jc w:val="both"/>
        <w:spacing w:before="120"/>
        <w:shd w:val="clear" w:color="auto" w:fill="ffffff"/>
        <w:tabs>
          <w:tab w:val="left" w:pos="567" w:leader="none"/>
        </w:tabs>
      </w:pPr>
      <w:r>
        <w:t xml:space="preserve">3.5 Основанием возникновения образовательных отношений служит приказ заведующего Филиалом. Изданию приказа о приеме лица на обучение в Филиал предшествует заключение договора об образовании.</w:t>
      </w:r>
      <w:r/>
    </w:p>
    <w:p>
      <w:pPr>
        <w:ind w:right="50"/>
        <w:jc w:val="both"/>
        <w:spacing w:before="120"/>
        <w:shd w:val="clear" w:color="auto" w:fill="ffffff"/>
        <w:tabs>
          <w:tab w:val="left" w:pos="567" w:leader="none"/>
        </w:tabs>
      </w:pPr>
      <w:r>
        <w:t xml:space="preserve">3.6 Обучающиеся зачисляются на один учебный год. При желании продолжить обучение в следующем учебном году родители (законные представители) учащегося оформляют договор на следующий год обучения.</w:t>
      </w:r>
      <w:r/>
    </w:p>
    <w:p>
      <w:pPr>
        <w:ind w:right="50"/>
        <w:jc w:val="both"/>
        <w:spacing w:before="120"/>
        <w:shd w:val="clear" w:color="auto" w:fill="ffffff"/>
        <w:tabs>
          <w:tab w:val="left" w:pos="567" w:leader="none"/>
        </w:tabs>
      </w:pPr>
      <w:r>
        <w:t xml:space="preserve">3.7 Срок оформления договоров на продолжение обучения с 10 апреля по 30 мая 2024 года. В случае несвоевременного оформления договора на обучение Филиал предоставляет учебное место при его наличии.</w:t>
      </w:r>
      <w:r/>
    </w:p>
    <w:p>
      <w:pPr>
        <w:jc w:val="both"/>
        <w:spacing w:before="120"/>
        <w:shd w:val="clear" w:color="auto" w:fill="ffffff"/>
        <w:tabs>
          <w:tab w:val="left" w:pos="567" w:leader="none"/>
        </w:tabs>
      </w:pPr>
      <w:r>
        <w:t xml:space="preserve">3.8 До заключения договора об оказании платных образовательных услуг Филиал предоставляет потребителю достоверную информацию об организации и оказываемых образовательных услугах, обеспечивающую возможность их правильного выбора.</w:t>
      </w:r>
      <w:r/>
    </w:p>
    <w:p>
      <w:pPr>
        <w:ind w:left="600"/>
        <w:jc w:val="both"/>
        <w:spacing w:before="120"/>
      </w:pPr>
      <w:r/>
      <w:r/>
    </w:p>
    <w:p>
      <w:pPr>
        <w:pStyle w:val="726"/>
        <w:spacing w:before="120"/>
        <w:rPr>
          <w:color w:val="000000"/>
          <w:sz w:val="28"/>
          <w:szCs w:val="28"/>
          <w:lang w:val="ru-RU"/>
        </w:rPr>
      </w:pPr>
      <w:r/>
      <w:bookmarkStart w:id="3" w:name="_Toc385334493"/>
      <w:r>
        <w:rPr>
          <w:color w:val="000000"/>
          <w:sz w:val="28"/>
          <w:szCs w:val="28"/>
          <w:lang w:val="ru-RU"/>
        </w:rPr>
        <w:t xml:space="preserve">4. </w:t>
      </w:r>
      <w:r>
        <w:rPr>
          <w:color w:val="000000"/>
          <w:sz w:val="28"/>
          <w:szCs w:val="28"/>
          <w:lang w:val="ru-RU"/>
        </w:rPr>
        <w:t xml:space="preserve">Порядок приема на отделение платных образовательных услуг дистанционной формы обучения</w:t>
      </w:r>
      <w:bookmarkEnd w:id="3"/>
      <w:r/>
      <w:r>
        <w:rPr>
          <w:color w:val="000000"/>
          <w:sz w:val="28"/>
          <w:szCs w:val="28"/>
          <w:lang w:val="ru-RU"/>
        </w:rPr>
      </w:r>
    </w:p>
    <w:p>
      <w:pPr>
        <w:jc w:val="both"/>
        <w:spacing w:before="120"/>
        <w:tabs>
          <w:tab w:val="left" w:pos="567" w:leader="none"/>
        </w:tabs>
      </w:pPr>
      <w:r>
        <w:t xml:space="preserve">4.1 На дистанционную форму обучения принимаются все желающие без ограничения количества мест. Возраст обучающегося должен входить в возрастной диапазон, указанный в выбранном курсе. 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4.2 Для обучения в дистанционном режиме обязательным условием является наличие персонального компьютера, подключенного к сети Интернет.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4.3 Для обучения в дистанционной форме обучающиеся регистрируются и подают заявку на сайте Центра "Поиск"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stavdeti</w:t>
      </w:r>
      <w:r>
        <w:t xml:space="preserve">.</w:t>
      </w:r>
      <w:r>
        <w:rPr>
          <w:lang w:val="en-US"/>
        </w:rPr>
        <w:t xml:space="preserve">online</w:t>
      </w:r>
      <w:r>
        <w:t xml:space="preserve">.</w:t>
      </w:r>
      <w:r>
        <w:rPr>
          <w:lang w:val="en-US"/>
        </w:rPr>
        <w:t xml:space="preserve">ru</w:t>
      </w:r>
      <w:r>
        <w:t xml:space="preserve"> или по телефону (8-87937) 2-50-64.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4.4 Доступ к учебно-методическим материалам открывается после заключения договора и оплаты обучения на срок, указанный в курсе.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4.5 Обучение осуществляется в системе дистанционного обучения </w:t>
      </w:r>
      <w:r>
        <w:t xml:space="preserve">Moodle</w:t>
      </w:r>
      <w:r>
        <w:t xml:space="preserve">. Формы обучения – индивидуальная или групповая. </w:t>
      </w:r>
      <w:r/>
    </w:p>
    <w:p>
      <w:pPr>
        <w:jc w:val="both"/>
        <w:spacing w:before="120"/>
        <w:tabs>
          <w:tab w:val="left" w:pos="567" w:leader="none"/>
        </w:tabs>
      </w:pPr>
      <w:r>
        <w:t xml:space="preserve">4.6 Заявки принимаются в течение всего учебного года. Обучающийся может одновременно обучаться на нескольких курсах.</w:t>
      </w:r>
      <w:r/>
    </w:p>
    <w:sectPr>
      <w:footerReference w:type="default" r:id="rId9"/>
      <w:footerReference w:type="even" r:id="rId10"/>
      <w:footnotePr/>
      <w:endnotePr/>
      <w:type w:val="continuous"/>
      <w:pgSz w:w="11906" w:h="16838" w:orient="portrait"/>
      <w:pgMar w:top="851" w:right="849" w:bottom="1418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Verdana">
    <w:panose1 w:val="020B0604030504040204"/>
  </w:font>
  <w:font w:name="Cambria">
    <w:panose1 w:val="020405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21"/>
      </w:rPr>
      <w:framePr w:wrap="around" w:vAnchor="text" w:hAnchor="margin" w:xAlign="right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separate"/>
    </w:r>
    <w:r>
      <w:rPr>
        <w:rStyle w:val="921"/>
      </w:rPr>
      <w:t xml:space="preserve">4</w:t>
    </w:r>
    <w:r>
      <w:rPr>
        <w:rStyle w:val="921"/>
      </w:rPr>
      <w:fldChar w:fldCharType="end"/>
    </w:r>
    <w:r>
      <w:rPr>
        <w:rStyle w:val="921"/>
      </w:rPr>
    </w:r>
  </w:p>
  <w:p>
    <w:pPr>
      <w:pStyle w:val="759"/>
      <w:ind w:right="360"/>
      <w:jc w:val="center"/>
    </w:pPr>
    <w:r/>
    <w:r/>
  </w:p>
  <w:p>
    <w:pPr>
      <w:pStyle w:val="75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21"/>
      </w:rPr>
      <w:framePr w:wrap="around" w:vAnchor="text" w:hAnchor="margin" w:xAlign="right" w:y="1"/>
    </w:pPr>
    <w:r>
      <w:rPr>
        <w:rStyle w:val="921"/>
      </w:rPr>
      <w:fldChar w:fldCharType="begin"/>
    </w:r>
    <w:r>
      <w:rPr>
        <w:rStyle w:val="921"/>
      </w:rPr>
      <w:instrText xml:space="preserve">PAGE  </w:instrText>
    </w:r>
    <w:r>
      <w:rPr>
        <w:rStyle w:val="921"/>
      </w:rPr>
      <w:fldChar w:fldCharType="end"/>
    </w:r>
    <w:r>
      <w:rPr>
        <w:rStyle w:val="921"/>
      </w:rPr>
    </w:r>
  </w:p>
  <w:p>
    <w:pPr>
      <w:pStyle w:val="75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26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6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5.%1"/>
      <w:lvlJc w:val="left"/>
      <w:pPr>
        <w:ind w:left="26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1.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7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635" w:hanging="360"/>
      </w:pPr>
      <w:rPr>
        <w:b/>
      </w:rPr>
    </w:lvl>
    <w:lvl w:ilvl="1">
      <w:start w:val="7"/>
      <w:numFmt w:val="decimal"/>
      <w:isLgl w:val="false"/>
      <w:suff w:val="tab"/>
      <w:lvlText w:val="%1.%2"/>
      <w:lvlJc w:val="left"/>
      <w:pPr>
        <w:ind w:left="1635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995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995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355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35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715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15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75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3"/>
      <w:numFmt w:val="decimal"/>
      <w:isLgl w:val="false"/>
      <w:suff w:val="tab"/>
      <w:lvlText w:val="2.%1"/>
      <w:lvlJc w:val="left"/>
      <w:pPr>
        <w:ind w:left="1434" w:hanging="360"/>
      </w:pPr>
    </w:lvl>
    <w:lvl w:ilvl="1">
      <w:start w:val="7"/>
      <w:numFmt w:val="decimal"/>
      <w:isLgl w:val="false"/>
      <w:suff w:val="tab"/>
      <w:lvlText w:val="%1.%2"/>
      <w:lvlJc w:val="left"/>
      <w:pPr>
        <w:ind w:left="1434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9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15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54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1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14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74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31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7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19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</w:lvl>
    <w:lvl w:ilvl="1">
      <w:start w:val="8"/>
      <w:numFmt w:val="decimal"/>
      <w:isLgl w:val="false"/>
      <w:suff w:val="tab"/>
      <w:lvlText w:val="%1.%2"/>
      <w:lvlJc w:val="left"/>
      <w:pPr>
        <w:ind w:left="480" w:hanging="480"/>
      </w:pPr>
    </w:lvl>
    <w:lvl w:ilvl="2">
      <w:start w:val="3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19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15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2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5"/>
    <w:link w:val="749"/>
    <w:uiPriority w:val="10"/>
    <w:rPr>
      <w:sz w:val="48"/>
      <w:szCs w:val="48"/>
    </w:rPr>
  </w:style>
  <w:style w:type="character" w:styleId="37">
    <w:name w:val="Subtitle Char"/>
    <w:basedOn w:val="735"/>
    <w:link w:val="751"/>
    <w:uiPriority w:val="11"/>
    <w:rPr>
      <w:sz w:val="24"/>
      <w:szCs w:val="24"/>
    </w:rPr>
  </w:style>
  <w:style w:type="character" w:styleId="39">
    <w:name w:val="Quote Char"/>
    <w:link w:val="753"/>
    <w:uiPriority w:val="29"/>
    <w:rPr>
      <w:i/>
    </w:rPr>
  </w:style>
  <w:style w:type="character" w:styleId="41">
    <w:name w:val="Intense Quote Char"/>
    <w:link w:val="755"/>
    <w:uiPriority w:val="30"/>
    <w:rPr>
      <w:i/>
    </w:rPr>
  </w:style>
  <w:style w:type="character" w:styleId="176">
    <w:name w:val="Footnote Text Char"/>
    <w:link w:val="890"/>
    <w:uiPriority w:val="99"/>
    <w:rPr>
      <w:sz w:val="18"/>
    </w:rPr>
  </w:style>
  <w:style w:type="character" w:styleId="179">
    <w:name w:val="Endnote Text Char"/>
    <w:link w:val="893"/>
    <w:uiPriority w:val="99"/>
    <w:rPr>
      <w:sz w:val="20"/>
    </w:rPr>
  </w:style>
  <w:style w:type="paragraph" w:styleId="725" w:default="1">
    <w:name w:val="Normal"/>
    <w:qFormat/>
    <w:rPr>
      <w:sz w:val="24"/>
      <w:szCs w:val="24"/>
    </w:rPr>
  </w:style>
  <w:style w:type="paragraph" w:styleId="726">
    <w:name w:val="Heading 1"/>
    <w:basedOn w:val="725"/>
    <w:next w:val="725"/>
    <w:link w:val="931"/>
    <w:qFormat/>
    <w:pPr>
      <w:jc w:val="center"/>
      <w:keepNext/>
      <w:outlineLvl w:val="0"/>
    </w:pPr>
    <w:rPr>
      <w:color w:val="0000ff"/>
      <w:sz w:val="40"/>
      <w:lang w:val="en-US" w:eastAsia="en-US"/>
    </w:rPr>
  </w:style>
  <w:style w:type="paragraph" w:styleId="727">
    <w:name w:val="Heading 2"/>
    <w:basedOn w:val="725"/>
    <w:next w:val="725"/>
    <w:link w:val="739"/>
    <w:qFormat/>
    <w:pPr>
      <w:keepNext/>
      <w:outlineLvl w:val="1"/>
    </w:pPr>
    <w:rPr>
      <w:b/>
      <w:bCs/>
    </w:rPr>
  </w:style>
  <w:style w:type="paragraph" w:styleId="728">
    <w:name w:val="Heading 3"/>
    <w:basedOn w:val="725"/>
    <w:next w:val="725"/>
    <w:link w:val="740"/>
    <w:qFormat/>
    <w:pPr>
      <w:jc w:val="center"/>
      <w:keepNext/>
      <w:outlineLvl w:val="2"/>
    </w:pPr>
    <w:rPr>
      <w:b/>
      <w:bCs/>
      <w:sz w:val="40"/>
    </w:rPr>
  </w:style>
  <w:style w:type="paragraph" w:styleId="729">
    <w:name w:val="Heading 4"/>
    <w:basedOn w:val="725"/>
    <w:next w:val="725"/>
    <w:link w:val="741"/>
    <w:qFormat/>
    <w:pPr>
      <w:keepNext/>
      <w:outlineLvl w:val="3"/>
    </w:pPr>
    <w:rPr>
      <w:b/>
      <w:bCs/>
      <w:color w:val="009900"/>
      <w:sz w:val="28"/>
    </w:rPr>
  </w:style>
  <w:style w:type="paragraph" w:styleId="730">
    <w:name w:val="Heading 5"/>
    <w:basedOn w:val="725"/>
    <w:next w:val="725"/>
    <w:link w:val="742"/>
    <w:qFormat/>
    <w:pPr>
      <w:keepNext/>
      <w:outlineLvl w:val="4"/>
    </w:pPr>
    <w:rPr>
      <w:b/>
      <w:bCs/>
      <w:sz w:val="20"/>
    </w:rPr>
  </w:style>
  <w:style w:type="paragraph" w:styleId="731">
    <w:name w:val="Heading 6"/>
    <w:basedOn w:val="725"/>
    <w:next w:val="725"/>
    <w:link w:val="922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32">
    <w:name w:val="Heading 7"/>
    <w:basedOn w:val="725"/>
    <w:next w:val="725"/>
    <w:link w:val="744"/>
    <w:qFormat/>
    <w:pPr>
      <w:spacing w:before="240" w:after="60"/>
      <w:outlineLvl w:val="6"/>
    </w:p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99"/>
    <w:qFormat/>
    <w:pPr>
      <w:ind w:left="708"/>
    </w:pPr>
  </w:style>
  <w:style w:type="paragraph" w:styleId="748">
    <w:name w:val="No Spacing"/>
    <w:uiPriority w:val="1"/>
    <w:qFormat/>
    <w:rPr>
      <w:lang w:eastAsia="zh-CN"/>
    </w:rPr>
  </w:style>
  <w:style w:type="paragraph" w:styleId="749">
    <w:name w:val="Title"/>
    <w:basedOn w:val="725"/>
    <w:next w:val="72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Заголовок Знак"/>
    <w:link w:val="749"/>
    <w:uiPriority w:val="10"/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spacing w:before="200" w:after="200"/>
    </w:p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5"/>
    <w:link w:val="91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8" w:customStyle="1">
    <w:name w:val="Header Char"/>
    <w:uiPriority w:val="99"/>
  </w:style>
  <w:style w:type="paragraph" w:styleId="759">
    <w:name w:val="Footer"/>
    <w:basedOn w:val="725"/>
    <w:link w:val="920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60" w:customStyle="1">
    <w:name w:val="Footer Char"/>
    <w:uiPriority w:val="99"/>
  </w:style>
  <w:style w:type="paragraph" w:styleId="761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2" w:customStyle="1">
    <w:name w:val="Caption Char"/>
    <w:uiPriority w:val="99"/>
  </w:style>
  <w:style w:type="table" w:styleId="763">
    <w:name w:val="Table Grid"/>
    <w:basedOn w:val="736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9">
    <w:name w:val="Hyperlink"/>
    <w:uiPriority w:val="99"/>
    <w:rPr>
      <w:color w:val="0000ff"/>
      <w:u w:val="single"/>
    </w:rPr>
  </w:style>
  <w:style w:type="paragraph" w:styleId="890">
    <w:name w:val="footnote text"/>
    <w:basedOn w:val="725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25"/>
    <w:link w:val="894"/>
    <w:uiPriority w:val="99"/>
    <w:semiHidden/>
    <w:unhideWhenUsed/>
    <w:rPr>
      <w:sz w:val="20"/>
    </w:rPr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25"/>
    <w:next w:val="725"/>
    <w:uiPriority w:val="39"/>
  </w:style>
  <w:style w:type="paragraph" w:styleId="897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8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9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0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1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2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3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4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5">
    <w:name w:val="TOC Heading"/>
    <w:basedOn w:val="726"/>
    <w:next w:val="725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906">
    <w:name w:val="table of figures"/>
    <w:basedOn w:val="725"/>
    <w:next w:val="725"/>
    <w:uiPriority w:val="99"/>
    <w:unhideWhenUsed/>
  </w:style>
  <w:style w:type="paragraph" w:styleId="907">
    <w:name w:val="Body Text Indent 2"/>
    <w:basedOn w:val="725"/>
    <w:pPr>
      <w:ind w:firstLine="374"/>
      <w:jc w:val="both"/>
    </w:pPr>
  </w:style>
  <w:style w:type="paragraph" w:styleId="908">
    <w:name w:val="Body Text Indent"/>
    <w:basedOn w:val="725"/>
    <w:pPr>
      <w:ind w:firstLine="720"/>
      <w:jc w:val="both"/>
      <w:widowControl w:val="off"/>
    </w:pPr>
    <w:rPr>
      <w:sz w:val="28"/>
      <w:szCs w:val="20"/>
    </w:rPr>
  </w:style>
  <w:style w:type="paragraph" w:styleId="909">
    <w:name w:val="Normal (Web)"/>
    <w:basedOn w:val="725"/>
    <w:uiPriority w:val="99"/>
    <w:pPr>
      <w:jc w:val="both"/>
      <w:spacing w:before="100" w:beforeAutospacing="1" w:after="100" w:afterAutospacing="1"/>
    </w:pPr>
    <w:rPr>
      <w:rFonts w:ascii="Verdana" w:hAnsi="Verdana" w:eastAsia="Arial Unicode MS" w:cs="Arial Unicode MS"/>
      <w:color w:val="222222"/>
      <w:sz w:val="17"/>
      <w:szCs w:val="17"/>
    </w:rPr>
  </w:style>
  <w:style w:type="character" w:styleId="910">
    <w:name w:val="Strong"/>
    <w:qFormat/>
    <w:rPr>
      <w:b/>
      <w:bCs/>
    </w:rPr>
  </w:style>
  <w:style w:type="paragraph" w:styleId="911" w:customStyle="1">
    <w:name w:val="fatext-c"/>
    <w:basedOn w:val="725"/>
    <w:pPr>
      <w:jc w:val="center"/>
      <w:spacing w:before="100" w:beforeAutospacing="1" w:after="100" w:afterAutospacing="1"/>
    </w:pPr>
    <w:rPr>
      <w:rFonts w:ascii="Verdana" w:hAnsi="Verdana" w:eastAsia="Arial Unicode MS" w:cs="Arial Unicode MS"/>
      <w:color w:val="000000"/>
      <w:sz w:val="16"/>
      <w:szCs w:val="16"/>
    </w:rPr>
  </w:style>
  <w:style w:type="paragraph" w:styleId="912" w:customStyle="1">
    <w:name w:val="fatext-l"/>
    <w:basedOn w:val="725"/>
    <w:pPr>
      <w:spacing w:before="100" w:beforeAutospacing="1" w:after="100" w:afterAutospacing="1"/>
    </w:pPr>
    <w:rPr>
      <w:rFonts w:ascii="Verdana" w:hAnsi="Verdana" w:eastAsia="Arial Unicode MS" w:cs="Arial Unicode MS"/>
      <w:color w:val="000000"/>
      <w:sz w:val="16"/>
      <w:szCs w:val="16"/>
    </w:rPr>
  </w:style>
  <w:style w:type="character" w:styleId="913">
    <w:name w:val="Emphasis"/>
    <w:qFormat/>
    <w:rPr>
      <w:i/>
      <w:iCs/>
    </w:rPr>
  </w:style>
  <w:style w:type="character" w:styleId="914" w:customStyle="1">
    <w:name w:val="header31"/>
    <w:rPr>
      <w:rFonts w:ascii="Verdana" w:hAnsi="Verdana"/>
      <w:b/>
      <w:bCs/>
      <w:sz w:val="20"/>
      <w:szCs w:val="20"/>
    </w:rPr>
  </w:style>
  <w:style w:type="paragraph" w:styleId="915">
    <w:name w:val="Body Text Indent 3"/>
    <w:basedOn w:val="725"/>
    <w:pPr>
      <w:ind w:left="720"/>
      <w:jc w:val="both"/>
      <w:spacing w:beforeAutospacing="1" w:afterAutospacing="1"/>
    </w:pPr>
    <w:rPr>
      <w:rFonts w:ascii="Verdana" w:hAnsi="Verdana"/>
      <w:sz w:val="16"/>
      <w:szCs w:val="16"/>
    </w:rPr>
  </w:style>
  <w:style w:type="paragraph" w:styleId="916" w:customStyle="1">
    <w:name w:val="header3-c"/>
    <w:basedOn w:val="725"/>
    <w:pPr>
      <w:jc w:val="center"/>
      <w:spacing w:before="100" w:beforeAutospacing="1" w:after="100" w:afterAutospacing="1"/>
    </w:pPr>
    <w:rPr>
      <w:rFonts w:ascii="Verdana" w:hAnsi="Verdana" w:eastAsia="Arial Unicode MS" w:cs="Arial Unicode MS"/>
      <w:b/>
      <w:bCs/>
      <w:sz w:val="20"/>
      <w:szCs w:val="20"/>
    </w:rPr>
  </w:style>
  <w:style w:type="character" w:styleId="917">
    <w:name w:val="FollowedHyperlink"/>
    <w:rPr>
      <w:color w:val="800080"/>
      <w:u w:val="single"/>
    </w:rPr>
  </w:style>
  <w:style w:type="paragraph" w:styleId="918" w:customStyle="1">
    <w:name w:val="txt"/>
    <w:basedOn w:val="725"/>
    <w:pPr>
      <w:jc w:val="both"/>
      <w:spacing w:before="150" w:after="150"/>
    </w:pPr>
  </w:style>
  <w:style w:type="character" w:styleId="919" w:customStyle="1">
    <w:name w:val="Верхний колонтитул Знак"/>
    <w:link w:val="757"/>
    <w:rPr>
      <w:sz w:val="24"/>
      <w:szCs w:val="24"/>
    </w:rPr>
  </w:style>
  <w:style w:type="character" w:styleId="920" w:customStyle="1">
    <w:name w:val="Нижний колонтитул Знак"/>
    <w:link w:val="759"/>
    <w:uiPriority w:val="99"/>
    <w:rPr>
      <w:sz w:val="24"/>
      <w:szCs w:val="24"/>
    </w:rPr>
  </w:style>
  <w:style w:type="character" w:styleId="921">
    <w:name w:val="page number"/>
    <w:basedOn w:val="735"/>
  </w:style>
  <w:style w:type="character" w:styleId="922" w:customStyle="1">
    <w:name w:val="Заголовок 6 Знак"/>
    <w:link w:val="731"/>
    <w:rPr>
      <w:b/>
      <w:bCs/>
      <w:sz w:val="22"/>
      <w:szCs w:val="22"/>
    </w:rPr>
  </w:style>
  <w:style w:type="paragraph" w:styleId="923">
    <w:name w:val="Balloon Text"/>
    <w:basedOn w:val="725"/>
    <w:link w:val="924"/>
    <w:rPr>
      <w:rFonts w:ascii="Segoe UI" w:hAnsi="Segoe UI"/>
      <w:sz w:val="18"/>
      <w:szCs w:val="18"/>
      <w:lang w:val="en-US" w:eastAsia="en-US"/>
    </w:rPr>
  </w:style>
  <w:style w:type="character" w:styleId="924" w:customStyle="1">
    <w:name w:val="Текст выноски Знак"/>
    <w:link w:val="923"/>
    <w:rPr>
      <w:rFonts w:ascii="Segoe UI" w:hAnsi="Segoe UI" w:cs="Segoe UI"/>
      <w:sz w:val="18"/>
      <w:szCs w:val="18"/>
    </w:rPr>
  </w:style>
  <w:style w:type="paragraph" w:styleId="925" w:customStyle="1">
    <w:name w:val="western"/>
    <w:basedOn w:val="725"/>
    <w:uiPriority w:val="99"/>
    <w:pPr>
      <w:spacing w:before="100" w:beforeAutospacing="1" w:after="100" w:afterAutospacing="1"/>
    </w:pPr>
  </w:style>
  <w:style w:type="character" w:styleId="926">
    <w:name w:val="annotation reference"/>
    <w:rPr>
      <w:sz w:val="16"/>
      <w:szCs w:val="16"/>
    </w:rPr>
  </w:style>
  <w:style w:type="paragraph" w:styleId="927">
    <w:name w:val="annotation text"/>
    <w:basedOn w:val="725"/>
    <w:link w:val="928"/>
    <w:rPr>
      <w:sz w:val="20"/>
      <w:szCs w:val="20"/>
    </w:rPr>
  </w:style>
  <w:style w:type="character" w:styleId="928" w:customStyle="1">
    <w:name w:val="Текст примечания Знак"/>
    <w:basedOn w:val="735"/>
    <w:link w:val="927"/>
  </w:style>
  <w:style w:type="paragraph" w:styleId="929">
    <w:name w:val="annotation subject"/>
    <w:basedOn w:val="927"/>
    <w:next w:val="927"/>
    <w:link w:val="930"/>
    <w:rPr>
      <w:b/>
      <w:bCs/>
      <w:lang w:val="en-US" w:eastAsia="en-US"/>
    </w:rPr>
  </w:style>
  <w:style w:type="character" w:styleId="930" w:customStyle="1">
    <w:name w:val="Тема примечания Знак"/>
    <w:link w:val="929"/>
    <w:rPr>
      <w:b/>
      <w:bCs/>
    </w:rPr>
  </w:style>
  <w:style w:type="character" w:styleId="931" w:customStyle="1">
    <w:name w:val="Заголовок 1 Знак"/>
    <w:link w:val="726"/>
    <w:rPr>
      <w:color w:val="0000ff"/>
      <w:sz w:val="40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___________</dc:title>
  <dc:creator>Администратор</dc:creator>
  <cp:lastModifiedBy>rubacheva@stavdeti.ru</cp:lastModifiedBy>
  <cp:revision>18</cp:revision>
  <dcterms:created xsi:type="dcterms:W3CDTF">2023-03-09T08:46:00Z</dcterms:created>
  <dcterms:modified xsi:type="dcterms:W3CDTF">2024-04-27T12:49:57Z</dcterms:modified>
  <cp:version>1048576</cp:version>
</cp:coreProperties>
</file>